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Metodología del club: [nombre del club]</w:t>
      </w:r>
    </w:p>
    <w:p>
      <w:r>
        <w:rPr>
          <w:color w:val="555555"/>
        </w:rPr>
        <w:t>Temporada: ________   ·   Dirección deportiva: ________________   ·   Última revisión: ________</w:t>
      </w:r>
    </w:p>
    <w:p>
      <w:r>
        <w:rPr>
          <w:i/>
          <w:sz w:val="18"/>
        </w:rPr>
        <w:t>Plantilla gratuita de VestuarIO. Cómo rellenarla, paso a paso: vestuario.io/blog/metodologia-club-baloncesto</w:t>
      </w:r>
    </w:p>
    <w:p>
      <w:pPr>
        <w:pStyle w:val="Heading1"/>
      </w:pPr>
      <w:r>
        <w:t>1. ADN del club</w:t>
      </w:r>
    </w:p>
    <w:p>
      <w:r>
        <w:rPr>
          <w:color w:val="666666"/>
        </w:rPr>
        <w:t>Tres o cuatro frases sobre qué tipo de jugador y de persona quiere formar el club. Evita las palabras vacías («excelencia», «valores»): di qué se ve en la pista cuando se cumplen.</w:t>
      </w:r>
    </w:p>
    <w:p>
      <w:r>
        <w:rPr>
          <w:color w:val="666666"/>
        </w:rPr>
        <w:t>Ejemplo: «Queremos jugadores que tomen decisiones solos, que defiendan en equipo y que sigan jugando al baloncesto cuando dejen el club».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Qué queremos formar</w:t>
            </w:r>
          </w:p>
        </w:tc>
        <w:tc>
          <w:tcPr>
            <w:tcW w:type="dxa" w:w="4320"/>
          </w:tcPr>
          <w:p>
            <w:r>
              <w:t>Cómo se nota en la pista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1"/>
      </w:pPr>
      <w:r>
        <w:t>2. Principios de juego</w:t>
      </w:r>
    </w:p>
    <w:p>
      <w:r>
        <w:rPr>
          <w:color w:val="666666"/>
        </w:rPr>
        <w:t>Las ideas que se mantienen de la escuela al primer equipo, para ataque, defensa y transición. Pocas y concretas: si no caben en una línea, son demasiado complicadas.</w:t>
      </w:r>
    </w:p>
    <w:p>
      <w:r>
        <w:rPr>
          <w:color w:val="666666"/>
        </w:rPr>
        <w:t>Ejemplo de ataque: «Primero el pase, después el tiro: todos atacan el espacio libre». Ejemplo de defensa: «Defendemos en equipo: ayuda y recuperación antes que el uno contra uno».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Fase</w:t>
            </w:r>
          </w:p>
        </w:tc>
        <w:tc>
          <w:tcPr>
            <w:tcW w:type="dxa" w:w="2880"/>
          </w:tcPr>
          <w:p>
            <w:r>
              <w:t>Principio</w:t>
            </w:r>
          </w:p>
        </w:tc>
        <w:tc>
          <w:tcPr>
            <w:tcW w:type="dxa" w:w="2880"/>
          </w:tcPr>
          <w:p>
            <w:r>
              <w:t>Cómo se entrena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3. Normas que no se negocian</w:t>
      </w:r>
    </w:p>
    <w:p>
      <w:r>
        <w:rPr>
          <w:color w:val="666666"/>
        </w:rPr>
        <w:t>Las decisiones del club que ningún entrenador cambia por su cuenta, sobre todo en las categorías de formación.</w:t>
      </w:r>
    </w:p>
    <w:p>
      <w:r>
        <w:rPr>
          <w:color w:val="666666"/>
        </w:rPr>
        <w:t>Ejemplos habituales: «Los minutos se reparten hasta infantil», «Nada de defensa zonal antes de cadete», «En minibasket todos juegan en todas las posiciones».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Norma</w:t>
            </w:r>
          </w:p>
        </w:tc>
        <w:tc>
          <w:tcPr>
            <w:tcW w:type="dxa" w:w="2880"/>
          </w:tcPr>
          <w:p>
            <w:r>
              <w:t>Hasta qué categoría</w:t>
            </w:r>
          </w:p>
        </w:tc>
        <w:tc>
          <w:tcPr>
            <w:tcW w:type="dxa" w:w="2880"/>
          </w:tcPr>
          <w:p>
            <w:r>
              <w:t>Por qué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4. Contenidos por categoría</w:t>
      </w:r>
    </w:p>
    <w:p>
      <w:r>
        <w:rPr>
          <w:color w:val="666666"/>
        </w:rPr>
        <w:t>Qué se trabaja en cada etapa, para que cada concepto crezca de una categoría a la siguiente en vez de empezar de cero cada temporada.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Categoría</w:t>
            </w:r>
          </w:p>
        </w:tc>
        <w:tc>
          <w:tcPr>
            <w:tcW w:type="dxa" w:w="1728"/>
          </w:tcPr>
          <w:p>
            <w:r>
              <w:t>Técnica individual</w:t>
            </w:r>
          </w:p>
        </w:tc>
        <w:tc>
          <w:tcPr>
            <w:tcW w:type="dxa" w:w="1728"/>
          </w:tcPr>
          <w:p>
            <w:r>
              <w:t>Táctica</w:t>
            </w:r>
          </w:p>
        </w:tc>
        <w:tc>
          <w:tcPr>
            <w:tcW w:type="dxa" w:w="1728"/>
          </w:tcPr>
          <w:p>
            <w:r>
              <w:t>Físico</w:t>
            </w:r>
          </w:p>
        </w:tc>
        <w:tc>
          <w:tcPr>
            <w:tcW w:type="dxa" w:w="1728"/>
          </w:tcPr>
          <w:p>
            <w:r>
              <w:t>Actitud</w:t>
            </w:r>
          </w:p>
        </w:tc>
      </w:tr>
      <w:tr>
        <w:tc>
          <w:tcPr>
            <w:tcW w:type="dxa" w:w="1728"/>
          </w:tcPr>
          <w:p>
            <w:r>
              <w:t>Minibasket (8-11)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Infantil (12-13)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Cadete (14-15)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Junior (16-17)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Sénior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5. Evaluación</w:t>
      </w:r>
    </w:p>
    <w:p>
      <w:r>
        <w:rPr>
          <w:color w:val="666666"/>
        </w:rPr>
        <w:t>Cómo y cuándo se evalúa a cada jugador. Recomendación: una rúbrica por categoría con cinco niveles y tres evaluaciones por temporada (inicio, mitad y final).</w:t>
      </w:r>
    </w:p>
    <w:p>
      <w:r>
        <w:rPr>
          <w:color w:val="666666"/>
        </w:rPr>
        <w:t>Puedes usar la rúbrica gratuita de VestuarIO: vestuario.io/blog/rubrica-evaluacion-jugadores-baloncesto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Momento</w:t>
            </w:r>
          </w:p>
        </w:tc>
        <w:tc>
          <w:tcPr>
            <w:tcW w:type="dxa" w:w="2880"/>
          </w:tcPr>
          <w:p>
            <w:r>
              <w:t>Quién evalúa</w:t>
            </w:r>
          </w:p>
        </w:tc>
        <w:tc>
          <w:tcPr>
            <w:tcW w:type="dxa" w:w="2880"/>
          </w:tcPr>
          <w:p>
            <w:r>
              <w:t>Cómo se comunica a jugador y familia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6. El papel del entrenador</w:t>
      </w:r>
    </w:p>
    <w:p>
      <w:r>
        <w:rPr>
          <w:color w:val="666666"/>
        </w:rPr>
        <w:t>Qué se espera de cada entrenador: cómo planifica (semana, sesión), qué registra (asistencia, contenidos, evaluaciones) y con quién se coordina.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Tarea</w:t>
            </w:r>
          </w:p>
        </w:tc>
        <w:tc>
          <w:tcPr>
            <w:tcW w:type="dxa" w:w="2880"/>
          </w:tcPr>
          <w:p>
            <w:r>
              <w:t>Cada cuánto</w:t>
            </w:r>
          </w:p>
        </w:tc>
        <w:tc>
          <w:tcPr>
            <w:tcW w:type="dxa" w:w="2880"/>
          </w:tcPr>
          <w:p>
            <w:r>
              <w:t>Responsable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7. Revisión</w:t>
      </w:r>
    </w:p>
    <w:p>
      <w:r>
        <w:rPr>
          <w:color w:val="666666"/>
        </w:rPr>
        <w:t>Quién firma la metodología, cuándo se revisa (una vez al año, antes de la pretemporada) y cómo se recogen las propuestas del cuerpo técnico.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Fecha de revisión</w:t>
            </w:r>
          </w:p>
        </w:tc>
        <w:tc>
          <w:tcPr>
            <w:tcW w:type="dxa" w:w="2880"/>
          </w:tcPr>
          <w:p>
            <w:r>
              <w:t>Cambios</w:t>
            </w:r>
          </w:p>
        </w:tc>
        <w:tc>
          <w:tcPr>
            <w:tcW w:type="dxa" w:w="2880"/>
          </w:tcPr>
          <w:p>
            <w:r>
              <w:t>Aprobado por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